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6A1D" w:rsidRDefault="00316A1D" w:rsidP="00316A1D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bookmarkStart w:id="0" w:name="_GoBack"/>
      <w:bookmarkEnd w:id="0"/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Vocabulaire hébreu 5 :</w:t>
      </w:r>
    </w:p>
    <w:p w:rsidR="00316A1D" w:rsidRDefault="00316A1D" w:rsidP="00316A1D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 w:rsidRPr="009C158C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Vocabulaire de </w:t>
      </w:r>
      <w:proofErr w:type="spellStart"/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Tou</w:t>
      </w:r>
      <w:proofErr w:type="spellEnd"/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Bichevat</w:t>
      </w:r>
      <w:proofErr w:type="spellEnd"/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et des jeûnes,</w:t>
      </w:r>
      <w:r w:rsidRPr="009C158C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de la Bar/Bat </w:t>
      </w:r>
      <w:proofErr w:type="spellStart"/>
      <w:r w:rsidRPr="009C158C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Mitsva</w:t>
      </w:r>
      <w:proofErr w:type="spellEnd"/>
      <w:r w:rsidRPr="009C158C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et de la </w:t>
      </w:r>
      <w:proofErr w:type="gramStart"/>
      <w:r w:rsidRPr="009C158C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naissance, </w:t>
      </w:r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9C158C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de</w:t>
      </w:r>
      <w:proofErr w:type="gramEnd"/>
      <w:r w:rsidRPr="009C158C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la place des femmes, du mariage et de la mort</w:t>
      </w:r>
    </w:p>
    <w:p w:rsidR="00316A1D" w:rsidRPr="009C158C" w:rsidRDefault="00316A1D" w:rsidP="00316A1D">
      <w:pPr>
        <w:tabs>
          <w:tab w:val="left" w:pos="2250"/>
        </w:tabs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ab/>
      </w:r>
    </w:p>
    <w:p w:rsidR="00316A1D" w:rsidRDefault="00316A1D" w:rsidP="00316A1D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15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chevat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manger des fruits, ordre de la nuit de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tou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bichevat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plantation en terre d’Israël, le neuf av, le dix-sept Tamouz, le jeune de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Guédalia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le dix tévet, le jeûne d’Esther, le jeune des premiers nés.</w:t>
      </w:r>
    </w:p>
    <w:p w:rsidR="00316A1D" w:rsidRDefault="00316A1D" w:rsidP="00316A1D">
      <w:pPr>
        <w:rPr>
          <w:rFonts w:eastAsiaTheme="minorEastAsia" w:cstheme="minorHAnsi"/>
          <w:color w:val="000000" w:themeColor="text1"/>
          <w:kern w:val="24"/>
          <w:lang w:bidi="he-IL"/>
        </w:rPr>
      </w:pPr>
    </w:p>
    <w:p w:rsidR="00316A1D" w:rsidRDefault="00316A1D" w:rsidP="00316A1D">
      <w:pPr>
        <w:rPr>
          <w:rFonts w:eastAsiaTheme="minorEastAsia" w:cstheme="minorHAnsi"/>
          <w:color w:val="000000" w:themeColor="text1"/>
          <w:kern w:val="24"/>
          <w:lang w:bidi="he-IL"/>
        </w:rPr>
      </w:pPr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Fils/fille du commandement, </w:t>
      </w:r>
      <w:proofErr w:type="spellStart"/>
      <w:r>
        <w:rPr>
          <w:rFonts w:eastAsiaTheme="minorEastAsia" w:cstheme="minorHAnsi"/>
          <w:color w:val="000000" w:themeColor="text1"/>
          <w:kern w:val="24"/>
          <w:lang w:bidi="he-IL"/>
        </w:rPr>
        <w:t>Tallit</w:t>
      </w:r>
      <w:proofErr w:type="spellEnd"/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, </w:t>
      </w:r>
      <w:proofErr w:type="spellStart"/>
      <w:r>
        <w:rPr>
          <w:rFonts w:eastAsiaTheme="minorEastAsia" w:cstheme="minorHAnsi"/>
          <w:color w:val="000000" w:themeColor="text1"/>
          <w:kern w:val="24"/>
          <w:lang w:bidi="he-IL"/>
        </w:rPr>
        <w:t>Téfilines</w:t>
      </w:r>
      <w:proofErr w:type="spellEnd"/>
      <w:r>
        <w:rPr>
          <w:rFonts w:eastAsiaTheme="minorEastAsia" w:cstheme="minorHAnsi"/>
          <w:color w:val="000000" w:themeColor="text1"/>
          <w:kern w:val="24"/>
          <w:lang w:bidi="he-IL"/>
        </w:rPr>
        <w:t>, lecture de la Torah, commentaire, envoyé du public, alliance du mot, joie de la fille, rachat du fils, bénédiction des enfants.</w:t>
      </w:r>
    </w:p>
    <w:p w:rsidR="00316A1D" w:rsidRDefault="00316A1D" w:rsidP="00316A1D">
      <w:pPr>
        <w:rPr>
          <w:rFonts w:eastAsiaTheme="minorEastAsia" w:cstheme="minorHAnsi"/>
          <w:color w:val="000000" w:themeColor="text1"/>
          <w:kern w:val="24"/>
          <w:lang w:bidi="he-IL"/>
        </w:rPr>
      </w:pPr>
    </w:p>
    <w:p w:rsidR="00316A1D" w:rsidRDefault="00316A1D" w:rsidP="00316A1D">
      <w:pPr>
        <w:rPr>
          <w:rFonts w:eastAsiaTheme="minorEastAsia" w:cstheme="minorHAnsi"/>
          <w:color w:val="000000" w:themeColor="text1"/>
          <w:kern w:val="24"/>
          <w:lang w:bidi="he-IL"/>
        </w:rPr>
      </w:pPr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Femme des femmes, mères Sarah </w:t>
      </w:r>
      <w:proofErr w:type="spellStart"/>
      <w:r>
        <w:rPr>
          <w:rFonts w:eastAsiaTheme="minorEastAsia" w:cstheme="minorHAnsi"/>
          <w:color w:val="000000" w:themeColor="text1"/>
          <w:kern w:val="24"/>
          <w:lang w:bidi="he-IL"/>
        </w:rPr>
        <w:t>Rébécca</w:t>
      </w:r>
      <w:proofErr w:type="spellEnd"/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 Rachel Léa </w:t>
      </w:r>
      <w:proofErr w:type="spellStart"/>
      <w:r>
        <w:rPr>
          <w:rFonts w:eastAsiaTheme="minorEastAsia" w:cstheme="minorHAnsi"/>
          <w:color w:val="000000" w:themeColor="text1"/>
          <w:kern w:val="24"/>
          <w:lang w:bidi="he-IL"/>
        </w:rPr>
        <w:t>Zilpa</w:t>
      </w:r>
      <w:proofErr w:type="spellEnd"/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 </w:t>
      </w:r>
      <w:proofErr w:type="spellStart"/>
      <w:r>
        <w:rPr>
          <w:rFonts w:eastAsiaTheme="minorEastAsia" w:cstheme="minorHAnsi"/>
          <w:color w:val="000000" w:themeColor="text1"/>
          <w:kern w:val="24"/>
          <w:lang w:bidi="he-IL"/>
        </w:rPr>
        <w:t>Bilha</w:t>
      </w:r>
      <w:proofErr w:type="spellEnd"/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, Batia Myriam Déborah Yaël </w:t>
      </w:r>
      <w:proofErr w:type="spellStart"/>
      <w:r>
        <w:rPr>
          <w:rFonts w:eastAsiaTheme="minorEastAsia" w:cstheme="minorHAnsi"/>
          <w:color w:val="000000" w:themeColor="text1"/>
          <w:kern w:val="24"/>
          <w:lang w:bidi="he-IL"/>
        </w:rPr>
        <w:t>Houlda</w:t>
      </w:r>
      <w:proofErr w:type="spellEnd"/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, </w:t>
      </w:r>
      <w:proofErr w:type="spellStart"/>
      <w:r>
        <w:rPr>
          <w:rFonts w:eastAsiaTheme="minorEastAsia" w:cstheme="minorHAnsi"/>
          <w:color w:val="000000" w:themeColor="text1"/>
          <w:kern w:val="24"/>
          <w:lang w:bidi="he-IL"/>
        </w:rPr>
        <w:t>Berouria</w:t>
      </w:r>
      <w:proofErr w:type="spellEnd"/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 Yalta, écartement bougie prélèvement du pain, pudeur, tous montent au compte des sept, dans ce même miracle, commandements positifs causés par le temps.</w:t>
      </w:r>
    </w:p>
    <w:p w:rsidR="00316A1D" w:rsidRDefault="00316A1D" w:rsidP="00316A1D">
      <w:pPr>
        <w:rPr>
          <w:rFonts w:eastAsiaTheme="minorEastAsia" w:cstheme="minorHAnsi"/>
          <w:color w:val="000000" w:themeColor="text1"/>
          <w:kern w:val="24"/>
          <w:lang w:bidi="he-IL"/>
        </w:rPr>
      </w:pPr>
    </w:p>
    <w:p w:rsidR="00316A1D" w:rsidRDefault="00316A1D" w:rsidP="00316A1D">
      <w:pPr>
        <w:rPr>
          <w:rFonts w:eastAsiaTheme="minorEastAsia" w:cstheme="minorHAnsi" w:hint="cs"/>
          <w:color w:val="000000" w:themeColor="text1"/>
          <w:kern w:val="24"/>
          <w:lang w:bidi="he-IL"/>
        </w:rPr>
      </w:pPr>
      <w:r>
        <w:rPr>
          <w:rFonts w:eastAsiaTheme="minorEastAsia" w:cstheme="minorHAnsi"/>
          <w:color w:val="000000" w:themeColor="text1"/>
          <w:kern w:val="24"/>
          <w:lang w:bidi="he-IL"/>
        </w:rPr>
        <w:t xml:space="preserve">Dais nuptial, sanctification, écrit, unification, acquisition, témoin des témoins, sept bénédictions, divorce acte divorce femme abandonnée, raccompagnement, </w:t>
      </w:r>
      <w:proofErr w:type="gramStart"/>
      <w:r>
        <w:rPr>
          <w:rFonts w:eastAsiaTheme="minorEastAsia" w:cstheme="minorHAnsi"/>
          <w:color w:val="000000" w:themeColor="text1"/>
          <w:kern w:val="24"/>
          <w:lang w:bidi="he-IL"/>
        </w:rPr>
        <w:t>sept trente année</w:t>
      </w:r>
      <w:proofErr w:type="gramEnd"/>
      <w:r>
        <w:rPr>
          <w:rFonts w:eastAsiaTheme="minorEastAsia" w:cstheme="minorHAnsi"/>
          <w:color w:val="000000" w:themeColor="text1"/>
          <w:kern w:val="24"/>
          <w:lang w:bidi="he-IL"/>
        </w:rPr>
        <w:t>.</w:t>
      </w:r>
    </w:p>
    <w:p w:rsidR="00316A1D" w:rsidRDefault="00316A1D" w:rsidP="00316A1D">
      <w:pPr>
        <w:rPr>
          <w:rFonts w:eastAsiaTheme="minorEastAsia" w:cstheme="minorHAnsi"/>
          <w:color w:val="000000" w:themeColor="text1"/>
          <w:kern w:val="24"/>
          <w:rtl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63"/>
        <w:gridCol w:w="2713"/>
        <w:gridCol w:w="1528"/>
        <w:gridCol w:w="2758"/>
      </w:tblGrid>
      <w:tr w:rsidR="00316A1D" w:rsidRPr="00D01C55" w:rsidTr="00A055BB">
        <w:tc>
          <w:tcPr>
            <w:tcW w:w="2405" w:type="dxa"/>
          </w:tcPr>
          <w:p w:rsidR="00316A1D" w:rsidRPr="00F03805" w:rsidRDefault="00316A1D" w:rsidP="00A055BB">
            <w:pPr>
              <w:pStyle w:val="Sansinterligne"/>
              <w:tabs>
                <w:tab w:val="center" w:pos="1199"/>
              </w:tabs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חופה</w:t>
            </w:r>
          </w:p>
          <w:p w:rsidR="00316A1D" w:rsidRPr="00F03805" w:rsidRDefault="00316A1D" w:rsidP="00A055BB">
            <w:pPr>
              <w:pStyle w:val="Sansinterligne"/>
              <w:tabs>
                <w:tab w:val="center" w:pos="1199"/>
              </w:tabs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קדושין</w:t>
            </w:r>
          </w:p>
          <w:p w:rsidR="00316A1D" w:rsidRPr="00F03805" w:rsidRDefault="00316A1D" w:rsidP="00A055BB">
            <w:pPr>
              <w:pStyle w:val="Sansinterligne"/>
              <w:tabs>
                <w:tab w:val="center" w:pos="1199"/>
              </w:tabs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כתובה</w:t>
            </w:r>
          </w:p>
          <w:p w:rsidR="00316A1D" w:rsidRPr="00F03805" w:rsidRDefault="00316A1D" w:rsidP="00A055BB">
            <w:pPr>
              <w:pStyle w:val="Sansinterligne"/>
              <w:tabs>
                <w:tab w:val="center" w:pos="1199"/>
              </w:tabs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יחוד</w:t>
            </w: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ab/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קניין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עד עדים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שבע ברכות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גרושין גט עגונה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לוויה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AD6C94">
              <w:rPr>
                <w:rFonts w:asciiTheme="majorHAnsi" w:hAnsiTheme="majorHAnsi" w:cstheme="majorHAnsi"/>
                <w:sz w:val="28"/>
                <w:szCs w:val="28"/>
                <w:rtl/>
                <w:lang w:bidi="he-IL"/>
              </w:rPr>
              <w:t>שבעה שלושים ש</w:t>
            </w:r>
            <w:r w:rsidRPr="00AD6C94">
              <w:rPr>
                <w:rFonts w:asciiTheme="majorHAnsi" w:hAnsiTheme="majorHAnsi" w:cstheme="majorHAnsi" w:hint="cs"/>
                <w:sz w:val="28"/>
                <w:szCs w:val="28"/>
                <w:rtl/>
                <w:lang w:bidi="he-IL"/>
              </w:rPr>
              <w:t>נ</w:t>
            </w:r>
            <w:r w:rsidRPr="00AD6C94">
              <w:rPr>
                <w:rFonts w:asciiTheme="majorHAnsi" w:hAnsiTheme="majorHAnsi" w:cstheme="majorHAnsi"/>
                <w:sz w:val="28"/>
                <w:szCs w:val="28"/>
                <w:rtl/>
                <w:lang w:bidi="he-IL"/>
              </w:rPr>
              <w:t>ה</w:t>
            </w:r>
          </w:p>
        </w:tc>
        <w:tc>
          <w:tcPr>
            <w:tcW w:w="3260" w:type="dxa"/>
          </w:tcPr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אישה נשים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אמהות  שרה רבקה רחל לאה</w:t>
            </w:r>
            <w:r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  <w:t xml:space="preserve"> </w:t>
            </w: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זילפה בלהה </w:t>
            </w:r>
          </w:p>
          <w:p w:rsidR="00316A1D" w:rsidRPr="00DD4BD9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29"/>
                <w:szCs w:val="29"/>
                <w:rtl/>
                <w:lang w:bidi="he-IL"/>
              </w:rPr>
            </w:pPr>
            <w:r w:rsidRPr="00DD4BD9">
              <w:rPr>
                <w:rFonts w:asciiTheme="majorHAnsi" w:hAnsiTheme="majorHAnsi" w:cstheme="majorHAnsi"/>
                <w:sz w:val="29"/>
                <w:szCs w:val="29"/>
                <w:rtl/>
                <w:lang w:bidi="he-IL"/>
              </w:rPr>
              <w:t>בתיה מרים דבורה יעל חולדה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ברוריה ילתא </w:t>
            </w:r>
          </w:p>
          <w:p w:rsidR="00316A1D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נידה נר חלה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</w:pPr>
            <w:r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  <w:t xml:space="preserve">צניות 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הכל עולין למניין שבע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באותו הנס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מצוות עשה שהזמן גרמן</w:t>
            </w:r>
          </w:p>
        </w:tc>
        <w:tc>
          <w:tcPr>
            <w:tcW w:w="1701" w:type="dxa"/>
          </w:tcPr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בר בת מצווה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תלית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תפילין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קריאת התורה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דרשה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שליח ציבור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ברית מילה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שמחת בת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פדיון הבן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F03805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ברכת ילדים</w:t>
            </w:r>
          </w:p>
        </w:tc>
        <w:tc>
          <w:tcPr>
            <w:tcW w:w="3090" w:type="dxa"/>
          </w:tcPr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ט"ו בשבט</w:t>
            </w:r>
          </w:p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אכילת פירות</w:t>
            </w:r>
          </w:p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סדר ליל ט"ו בשבט</w:t>
            </w:r>
          </w:p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נטיעות בארץ ישראל</w:t>
            </w:r>
          </w:p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תשעה באב</w:t>
            </w:r>
          </w:p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שבעה עשר בתמוז</w:t>
            </w:r>
          </w:p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צום גדליה</w:t>
            </w:r>
          </w:p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עשרה בטבת</w:t>
            </w:r>
          </w:p>
          <w:p w:rsidR="00316A1D" w:rsidRPr="00D03CDF" w:rsidRDefault="00316A1D" w:rsidP="00316A1D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תענית אסתר</w:t>
            </w:r>
          </w:p>
          <w:p w:rsidR="00316A1D" w:rsidRPr="00F03805" w:rsidRDefault="00316A1D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>
              <w:rPr>
                <w:rFonts w:asciiTheme="majorHAnsi" w:hAnsiTheme="majorHAnsi" w:cstheme="majorHAnsi"/>
                <w:sz w:val="32"/>
                <w:szCs w:val="32"/>
                <w:lang w:bidi="he-IL"/>
              </w:rPr>
              <w:t xml:space="preserve"> 10    </w:t>
            </w:r>
            <w:r w:rsidRPr="00D03CDF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תענית בכורות</w:t>
            </w:r>
          </w:p>
        </w:tc>
      </w:tr>
    </w:tbl>
    <w:p w:rsidR="00A87811" w:rsidRDefault="00A87811" w:rsidP="00316A1D"/>
    <w:sectPr w:rsidR="00A8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5C29F1"/>
    <w:multiLevelType w:val="hybridMultilevel"/>
    <w:tmpl w:val="6B8E9AB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A1D"/>
    <w:rsid w:val="00316A1D"/>
    <w:rsid w:val="00A87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439A9"/>
  <w15:chartTrackingRefBased/>
  <w15:docId w15:val="{11747A8F-8CC9-4F3B-BE2D-90FE7D76D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6A1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16A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316A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222</Words>
  <Characters>1225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2019-09-05T21:24:00Z</dcterms:created>
  <dcterms:modified xsi:type="dcterms:W3CDTF">2019-09-05T21:25:00Z</dcterms:modified>
</cp:coreProperties>
</file>