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1398"/>
        <w:gridCol w:w="1798"/>
        <w:gridCol w:w="3995"/>
        <w:gridCol w:w="1997"/>
        <w:gridCol w:w="4313"/>
      </w:tblGrid>
      <w:tr w:rsidR="00CC6585" w:rsidTr="00CC6585">
        <w:trPr>
          <w:trHeight w:val="1091"/>
        </w:trPr>
        <w:tc>
          <w:tcPr>
            <w:tcW w:w="1821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Juda Halévy</w:t>
            </w:r>
          </w:p>
        </w:tc>
        <w:tc>
          <w:tcPr>
            <w:tcW w:w="1398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1086-1146</w:t>
            </w:r>
          </w:p>
        </w:tc>
        <w:tc>
          <w:tcPr>
            <w:tcW w:w="1798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Espagne, Tolède, Cordoue,</w:t>
            </w:r>
          </w:p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Egypte</w:t>
            </w:r>
          </w:p>
        </w:tc>
        <w:tc>
          <w:tcPr>
            <w:tcW w:w="3995" w:type="dxa"/>
          </w:tcPr>
          <w:p w:rsidR="00DB54FE" w:rsidRPr="00CC6585" w:rsidRDefault="00DB54FE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Kouzari</w:t>
            </w:r>
            <w:proofErr w:type="spellEnd"/>
          </w:p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Piyoutim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, Odes à Sion,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qinot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du 9 av</w:t>
            </w:r>
          </w:p>
          <w:p w:rsidR="00DB54FE" w:rsidRPr="00CC6585" w:rsidRDefault="00DB54FE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997" w:type="dxa"/>
          </w:tcPr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Première croisade, Messianisme</w:t>
            </w:r>
          </w:p>
          <w:p w:rsidR="00DB54FE" w:rsidRPr="00CC6585" w:rsidRDefault="00DB54FE" w:rsidP="00F25047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313" w:type="dxa"/>
          </w:tcPr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poèmes profanes, Médecine, commerce</w:t>
            </w:r>
          </w:p>
        </w:tc>
      </w:tr>
      <w:tr w:rsidR="00CC6585" w:rsidTr="00CC6585">
        <w:trPr>
          <w:trHeight w:val="1906"/>
        </w:trPr>
        <w:tc>
          <w:tcPr>
            <w:tcW w:w="1821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Rabbi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Chlomo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Ben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ItsHak</w:t>
            </w:r>
            <w:proofErr w:type="spellEnd"/>
          </w:p>
        </w:tc>
        <w:tc>
          <w:tcPr>
            <w:tcW w:w="1398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1040-1105</w:t>
            </w:r>
          </w:p>
        </w:tc>
        <w:tc>
          <w:tcPr>
            <w:tcW w:w="1798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Troyes,</w:t>
            </w:r>
          </w:p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Worms, Metz</w:t>
            </w:r>
          </w:p>
        </w:tc>
        <w:tc>
          <w:tcPr>
            <w:tcW w:w="3995" w:type="dxa"/>
          </w:tcPr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Commentaire Torah, Commentaire Talmud</w:t>
            </w:r>
          </w:p>
          <w:p w:rsidR="00DB54FE" w:rsidRPr="00CC6585" w:rsidRDefault="00DB54FE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Pchat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,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laazim</w:t>
            </w:r>
            <w:proofErr w:type="spellEnd"/>
          </w:p>
          <w:p w:rsidR="00DB54FE" w:rsidRPr="00CC6585" w:rsidRDefault="00DB54FE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Poèmes liturgiques</w:t>
            </w:r>
          </w:p>
          <w:p w:rsidR="00DB54FE" w:rsidRPr="00CC6585" w:rsidRDefault="00DB54FE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Responsa</w:t>
            </w:r>
            <w:proofErr w:type="spellEnd"/>
          </w:p>
          <w:p w:rsidR="00DB54FE" w:rsidRPr="00CC6585" w:rsidRDefault="00DB54FE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Filles mettant les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téfilines</w:t>
            </w:r>
            <w:proofErr w:type="spellEnd"/>
          </w:p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Dayan</w:t>
            </w:r>
          </w:p>
        </w:tc>
        <w:tc>
          <w:tcPr>
            <w:tcW w:w="1997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Première croisade, Destructions tragiques</w:t>
            </w:r>
          </w:p>
        </w:tc>
        <w:tc>
          <w:tcPr>
            <w:tcW w:w="4313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Rachi, gentillesse, pédagogie, </w:t>
            </w:r>
            <w:r w:rsidRPr="00CC6585">
              <w:rPr>
                <w:rFonts w:asciiTheme="majorBidi" w:hAnsiTheme="majorBidi" w:cstheme="majorBidi"/>
                <w:sz w:val="26"/>
                <w:szCs w:val="26"/>
              </w:rPr>
              <w:t>Viticulteur</w:t>
            </w:r>
          </w:p>
        </w:tc>
      </w:tr>
      <w:tr w:rsidR="00CC6585" w:rsidTr="00CC6585">
        <w:trPr>
          <w:trHeight w:val="1368"/>
        </w:trPr>
        <w:tc>
          <w:tcPr>
            <w:tcW w:w="1821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Rabbi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Yaacok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ben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Acher</w:t>
            </w:r>
            <w:proofErr w:type="spellEnd"/>
          </w:p>
        </w:tc>
        <w:tc>
          <w:tcPr>
            <w:tcW w:w="1398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1270-1340</w:t>
            </w:r>
          </w:p>
        </w:tc>
        <w:tc>
          <w:tcPr>
            <w:tcW w:w="1798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Allemagne, Espagne, Barcelone, Tolède</w:t>
            </w:r>
          </w:p>
        </w:tc>
        <w:tc>
          <w:tcPr>
            <w:tcW w:w="3995" w:type="dxa"/>
          </w:tcPr>
          <w:p w:rsidR="00DB54FE" w:rsidRPr="00CC6585" w:rsidRDefault="00DB54FE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Commentaire du Talmud, de la Torah</w:t>
            </w:r>
          </w:p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Guématria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et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notarikon</w:t>
            </w:r>
            <w:proofErr w:type="spellEnd"/>
          </w:p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Arbaa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tourim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>, code de loi</w:t>
            </w:r>
          </w:p>
          <w:p w:rsidR="00DB54FE" w:rsidRPr="00CC6585" w:rsidRDefault="00DB54FE" w:rsidP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Kitsour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piské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haroch</w:t>
            </w:r>
            <w:proofErr w:type="spellEnd"/>
          </w:p>
        </w:tc>
        <w:tc>
          <w:tcPr>
            <w:tcW w:w="1997" w:type="dxa"/>
          </w:tcPr>
          <w:p w:rsidR="00DB54FE" w:rsidRPr="00CC6585" w:rsidRDefault="008533B0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Richonim</w:t>
            </w:r>
            <w:proofErr w:type="spellEnd"/>
          </w:p>
        </w:tc>
        <w:tc>
          <w:tcPr>
            <w:tcW w:w="4313" w:type="dxa"/>
          </w:tcPr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Baal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hatourim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, fils de rabbi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Acher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ben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YéHiel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, </w:t>
            </w:r>
          </w:p>
          <w:p w:rsidR="00DB54FE" w:rsidRPr="00CC6585" w:rsidRDefault="00DB54FE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CC6585" w:rsidTr="00CC6585">
        <w:trPr>
          <w:trHeight w:val="1630"/>
        </w:trPr>
        <w:tc>
          <w:tcPr>
            <w:tcW w:w="1821" w:type="dxa"/>
          </w:tcPr>
          <w:p w:rsidR="00DB54FE" w:rsidRPr="00CC6585" w:rsidRDefault="00E122B6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Onkélos</w:t>
            </w:r>
            <w:proofErr w:type="spellEnd"/>
          </w:p>
        </w:tc>
        <w:tc>
          <w:tcPr>
            <w:tcW w:w="1398" w:type="dxa"/>
          </w:tcPr>
          <w:p w:rsidR="00DB54FE" w:rsidRPr="00CC6585" w:rsidRDefault="00E122B6">
            <w:pPr>
              <w:rPr>
                <w:rFonts w:asciiTheme="majorBidi" w:hAnsiTheme="majorBidi" w:cstheme="majorBidi"/>
                <w:sz w:val="26"/>
                <w:szCs w:val="26"/>
                <w:rtl/>
                <w:lang w:bidi="he-IL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Fin 1</w:t>
            </w:r>
            <w:r w:rsidRPr="00CC6585">
              <w:rPr>
                <w:rFonts w:asciiTheme="majorBidi" w:hAnsiTheme="majorBidi" w:cstheme="majorBidi"/>
                <w:sz w:val="26"/>
                <w:szCs w:val="26"/>
                <w:vertAlign w:val="superscript"/>
              </w:rPr>
              <w:t>e</w:t>
            </w:r>
            <w:r w:rsidR="00255566"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s. </w:t>
            </w:r>
          </w:p>
        </w:tc>
        <w:tc>
          <w:tcPr>
            <w:tcW w:w="1798" w:type="dxa"/>
          </w:tcPr>
          <w:p w:rsidR="00DB54FE" w:rsidRPr="00CC6585" w:rsidRDefault="00E122B6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Judée</w:t>
            </w:r>
          </w:p>
        </w:tc>
        <w:tc>
          <w:tcPr>
            <w:tcW w:w="3995" w:type="dxa"/>
          </w:tcPr>
          <w:p w:rsidR="00DB54FE" w:rsidRPr="00CC6585" w:rsidRDefault="00E122B6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Traduction de la Torah en araméen</w:t>
            </w:r>
          </w:p>
          <w:p w:rsidR="00E122B6" w:rsidRPr="00CC6585" w:rsidRDefault="00E122B6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Evite les anthropomorphismes, précise le nom des lieux et des personnages</w:t>
            </w:r>
          </w:p>
        </w:tc>
        <w:tc>
          <w:tcPr>
            <w:tcW w:w="1997" w:type="dxa"/>
          </w:tcPr>
          <w:p w:rsidR="00DB54FE" w:rsidRPr="00CC6585" w:rsidRDefault="00E122B6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Début des amoraim</w:t>
            </w:r>
          </w:p>
          <w:p w:rsidR="00E122B6" w:rsidRPr="00CC6585" w:rsidRDefault="00E122B6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4313" w:type="dxa"/>
          </w:tcPr>
          <w:p w:rsidR="00E122B6" w:rsidRPr="00CC6585" w:rsidRDefault="00E122B6" w:rsidP="00E122B6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Notable romain converti, Ben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Kalonimos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,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neuveu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de Titus (fin 1</w:t>
            </w:r>
            <w:r w:rsidRPr="00CC6585">
              <w:rPr>
                <w:rFonts w:asciiTheme="majorBidi" w:hAnsiTheme="majorBidi" w:cstheme="majorBidi"/>
                <w:sz w:val="26"/>
                <w:szCs w:val="26"/>
                <w:vertAlign w:val="superscript"/>
              </w:rPr>
              <w:t>e</w:t>
            </w: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s) d’Hadrien selon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midrach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TanHouma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(2</w:t>
            </w:r>
            <w:r w:rsidRPr="00CC6585">
              <w:rPr>
                <w:rFonts w:asciiTheme="majorBidi" w:hAnsiTheme="majorBidi" w:cstheme="majorBidi"/>
                <w:sz w:val="26"/>
                <w:szCs w:val="26"/>
                <w:vertAlign w:val="superscript"/>
              </w:rPr>
              <w:t>e</w:t>
            </w: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siècle), étudiant de Hillel et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Chamaï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selon Zohar (début 1</w:t>
            </w:r>
            <w:r w:rsidRPr="00CC6585">
              <w:rPr>
                <w:rFonts w:asciiTheme="majorBidi" w:hAnsiTheme="majorBidi" w:cstheme="majorBidi"/>
                <w:sz w:val="26"/>
                <w:szCs w:val="26"/>
                <w:vertAlign w:val="superscript"/>
              </w:rPr>
              <w:t>e</w:t>
            </w: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s.)</w:t>
            </w:r>
          </w:p>
        </w:tc>
      </w:tr>
      <w:tr w:rsidR="00CC6585" w:rsidTr="00CC6585">
        <w:trPr>
          <w:trHeight w:val="2997"/>
        </w:trPr>
        <w:tc>
          <w:tcPr>
            <w:tcW w:w="1821" w:type="dxa"/>
          </w:tcPr>
          <w:p w:rsidR="00DB54FE" w:rsidRPr="00CC6585" w:rsidRDefault="00255566">
            <w:pPr>
              <w:rPr>
                <w:rFonts w:asciiTheme="majorBidi" w:hAnsiTheme="majorBidi" w:cstheme="majorBidi"/>
                <w:sz w:val="26"/>
                <w:szCs w:val="26"/>
                <w:rtl/>
                <w:lang w:bidi="he-IL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Abraham Ibn Ezra</w:t>
            </w:r>
          </w:p>
        </w:tc>
        <w:tc>
          <w:tcPr>
            <w:tcW w:w="1398" w:type="dxa"/>
          </w:tcPr>
          <w:p w:rsidR="00DB54FE" w:rsidRPr="00CC6585" w:rsidRDefault="00255566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1089-1164</w:t>
            </w:r>
          </w:p>
        </w:tc>
        <w:tc>
          <w:tcPr>
            <w:tcW w:w="1798" w:type="dxa"/>
          </w:tcPr>
          <w:p w:rsidR="00DB54FE" w:rsidRPr="00CC6585" w:rsidRDefault="00255566" w:rsidP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Espagne, </w:t>
            </w:r>
            <w:r w:rsidR="001224DC" w:rsidRPr="00CC6585">
              <w:rPr>
                <w:rFonts w:asciiTheme="majorBidi" w:hAnsiTheme="majorBidi" w:cstheme="majorBidi"/>
                <w:sz w:val="26"/>
                <w:szCs w:val="26"/>
              </w:rPr>
              <w:t>Egypte, Israël, Irak, Italie, Angleterre, France, Espagne</w:t>
            </w:r>
          </w:p>
        </w:tc>
        <w:tc>
          <w:tcPr>
            <w:tcW w:w="3995" w:type="dxa"/>
          </w:tcPr>
          <w:p w:rsidR="00DB54FE" w:rsidRPr="00CC6585" w:rsidRDefault="00255566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Sens littéral, critique biblique, </w:t>
            </w:r>
            <w:r w:rsidR="001224DC" w:rsidRPr="00CC6585">
              <w:rPr>
                <w:rFonts w:asciiTheme="majorBidi" w:hAnsiTheme="majorBidi" w:cstheme="majorBidi"/>
                <w:sz w:val="26"/>
                <w:szCs w:val="26"/>
              </w:rPr>
              <w:t>grammaire hébraïque</w:t>
            </w:r>
          </w:p>
          <w:p w:rsidR="001224DC" w:rsidRPr="00CC6585" w:rsidRDefault="001224DC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Interprétation éthique et symbolique, néo-platonicienne</w:t>
            </w:r>
          </w:p>
          <w:p w:rsidR="001224DC" w:rsidRPr="00CC6585" w:rsidRDefault="001224DC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Bref, précis, humour</w:t>
            </w:r>
          </w:p>
          <w:p w:rsidR="001224DC" w:rsidRPr="00CC6585" w:rsidRDefault="001224DC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Critique la « spiritualisation »</w:t>
            </w:r>
          </w:p>
          <w:p w:rsidR="001224DC" w:rsidRPr="00CC6585" w:rsidRDefault="001224DC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Pchat</w:t>
            </w:r>
            <w:proofErr w:type="spellEnd"/>
          </w:p>
        </w:tc>
        <w:tc>
          <w:tcPr>
            <w:tcW w:w="1997" w:type="dxa"/>
          </w:tcPr>
          <w:p w:rsidR="00DB54FE" w:rsidRPr="00CC6585" w:rsidRDefault="008533B0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Jonction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guéonim-Richonim</w:t>
            </w:r>
            <w:proofErr w:type="spellEnd"/>
          </w:p>
        </w:tc>
        <w:tc>
          <w:tcPr>
            <w:tcW w:w="4313" w:type="dxa"/>
          </w:tcPr>
          <w:p w:rsidR="00894FD3" w:rsidRDefault="00894FD3">
            <w:hyperlink r:id="rId5" w:tooltip="ראב&quot;ע" w:history="1">
              <w:proofErr w:type="spellStart"/>
              <w:r>
                <w:rPr>
                  <w:rStyle w:val="Lienhypertexte"/>
                  <w:rtl/>
                </w:rPr>
                <w:t>ראב"ע</w:t>
              </w:r>
              <w:proofErr w:type="spellEnd"/>
            </w:hyperlink>
          </w:p>
          <w:p w:rsidR="00DB54FE" w:rsidRPr="00CC6585" w:rsidRDefault="00255566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Physicien</w:t>
            </w:r>
          </w:p>
          <w:p w:rsidR="001224DC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Poèmes profanes</w:t>
            </w:r>
          </w:p>
          <w:p w:rsidR="00255566" w:rsidRPr="00CC6585" w:rsidRDefault="00255566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Mauvais commerçant</w:t>
            </w:r>
          </w:p>
          <w:p w:rsidR="001224DC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Fils converti à l’Islam</w:t>
            </w:r>
          </w:p>
          <w:p w:rsidR="001224DC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Hasefardi</w:t>
            </w:r>
            <w:proofErr w:type="spellEnd"/>
          </w:p>
          <w:p w:rsidR="001224DC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Hébreu pour partager l’enseignement en arabe avec les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achkénazes</w:t>
            </w:r>
            <w:proofErr w:type="spellEnd"/>
          </w:p>
          <w:p w:rsidR="001224DC" w:rsidRPr="00CC6585" w:rsidRDefault="001224DC" w:rsidP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Ki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échméra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chabat</w:t>
            </w:r>
            <w:proofErr w:type="spellEnd"/>
          </w:p>
          <w:p w:rsidR="00255566" w:rsidRPr="00CC6585" w:rsidRDefault="001224DC" w:rsidP="00894FD3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Celui qui comprend </w:t>
            </w: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comprend</w:t>
            </w:r>
            <w:bookmarkStart w:id="0" w:name="_GoBack"/>
            <w:bookmarkEnd w:id="0"/>
            <w:proofErr w:type="spellEnd"/>
          </w:p>
        </w:tc>
      </w:tr>
      <w:tr w:rsidR="00CC6585" w:rsidTr="00CC6585">
        <w:trPr>
          <w:trHeight w:val="829"/>
        </w:trPr>
        <w:tc>
          <w:tcPr>
            <w:tcW w:w="1821" w:type="dxa"/>
          </w:tcPr>
          <w:p w:rsidR="00DB54FE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CC6585">
              <w:rPr>
                <w:rFonts w:asciiTheme="majorBidi" w:hAnsiTheme="majorBidi" w:cstheme="majorBidi"/>
                <w:sz w:val="26"/>
                <w:szCs w:val="26"/>
              </w:rPr>
              <w:t>Yeshayahou</w:t>
            </w:r>
            <w:proofErr w:type="spellEnd"/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 Leibowitz</w:t>
            </w:r>
          </w:p>
        </w:tc>
        <w:tc>
          <w:tcPr>
            <w:tcW w:w="1398" w:type="dxa"/>
          </w:tcPr>
          <w:p w:rsidR="00DB54FE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1903-1994</w:t>
            </w:r>
          </w:p>
        </w:tc>
        <w:tc>
          <w:tcPr>
            <w:tcW w:w="1798" w:type="dxa"/>
          </w:tcPr>
          <w:p w:rsidR="00DB54FE" w:rsidRPr="00CC6585" w:rsidRDefault="008533B0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 xml:space="preserve">Lettonie, </w:t>
            </w:r>
            <w:r w:rsidR="001224DC" w:rsidRPr="00CC6585">
              <w:rPr>
                <w:rFonts w:asciiTheme="majorBidi" w:hAnsiTheme="majorBidi" w:cstheme="majorBidi"/>
                <w:sz w:val="26"/>
                <w:szCs w:val="26"/>
              </w:rPr>
              <w:t>Israël</w:t>
            </w:r>
          </w:p>
        </w:tc>
        <w:tc>
          <w:tcPr>
            <w:tcW w:w="3995" w:type="dxa"/>
          </w:tcPr>
          <w:p w:rsidR="00DB54FE" w:rsidRPr="00CC6585" w:rsidRDefault="008533B0" w:rsidP="009C6BDF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Approche éthique et formaliste</w:t>
            </w:r>
          </w:p>
        </w:tc>
        <w:tc>
          <w:tcPr>
            <w:tcW w:w="1997" w:type="dxa"/>
          </w:tcPr>
          <w:p w:rsidR="00DB54FE" w:rsidRPr="00CC6585" w:rsidRDefault="008533B0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Shoah, naissance de l’Etat d’Israël</w:t>
            </w:r>
          </w:p>
        </w:tc>
        <w:tc>
          <w:tcPr>
            <w:tcW w:w="4313" w:type="dxa"/>
          </w:tcPr>
          <w:p w:rsidR="00DB54FE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Scientifique</w:t>
            </w:r>
          </w:p>
          <w:p w:rsidR="001224DC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Philosophe</w:t>
            </w:r>
          </w:p>
          <w:p w:rsidR="001224DC" w:rsidRPr="00CC6585" w:rsidRDefault="001224DC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CC6585">
              <w:rPr>
                <w:rFonts w:asciiTheme="majorBidi" w:hAnsiTheme="majorBidi" w:cstheme="majorBidi"/>
                <w:sz w:val="26"/>
                <w:szCs w:val="26"/>
              </w:rPr>
              <w:t>Héritier de Maïmonide</w:t>
            </w:r>
          </w:p>
        </w:tc>
      </w:tr>
    </w:tbl>
    <w:p w:rsidR="00632D68" w:rsidRDefault="00632D68" w:rsidP="00CC6585"/>
    <w:sectPr w:rsidR="00632D68" w:rsidSect="00CC6585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047"/>
    <w:rsid w:val="001224DC"/>
    <w:rsid w:val="00255566"/>
    <w:rsid w:val="00632D68"/>
    <w:rsid w:val="00831E9A"/>
    <w:rsid w:val="008533B0"/>
    <w:rsid w:val="00894FD3"/>
    <w:rsid w:val="00CC6585"/>
    <w:rsid w:val="00DB54FE"/>
    <w:rsid w:val="00E122B6"/>
    <w:rsid w:val="00F2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5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894F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5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894F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he.wikipedia.org/wiki/%D7%A8%D7%90%D7%91%22%D7%A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279</Words>
  <Characters>1438</Characters>
  <Application>Microsoft Office Word</Application>
  <DocSecurity>0</DocSecurity>
  <Lines>18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2</cp:revision>
  <cp:lastPrinted>2017-01-05T17:21:00Z</cp:lastPrinted>
  <dcterms:created xsi:type="dcterms:W3CDTF">2017-01-05T16:16:00Z</dcterms:created>
  <dcterms:modified xsi:type="dcterms:W3CDTF">2017-01-06T13:34:00Z</dcterms:modified>
</cp:coreProperties>
</file>